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152D7" w14:textId="77777777" w:rsidR="007701FB" w:rsidRPr="007701FB" w:rsidRDefault="007701FB" w:rsidP="007701FB">
      <w:pPr>
        <w:pBdr>
          <w:left w:val="single" w:sz="4" w:space="4" w:color="FFFFFF"/>
          <w:bottom w:val="single" w:sz="4" w:space="31" w:color="FFFFFF"/>
          <w:right w:val="single" w:sz="4" w:space="4" w:color="FFFFFF"/>
        </w:pBdr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7701FB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Situazione dell’Ente e andamento della gestione</w:t>
      </w:r>
    </w:p>
    <w:p w14:paraId="0D73A22E" w14:textId="77777777" w:rsidR="007701FB" w:rsidRPr="007701FB" w:rsidRDefault="007701FB" w:rsidP="007701FB">
      <w:pPr>
        <w:pBdr>
          <w:left w:val="single" w:sz="4" w:space="4" w:color="FFFFFF"/>
          <w:bottom w:val="single" w:sz="4" w:space="31" w:color="FFFFFF"/>
          <w:right w:val="single" w:sz="4" w:space="4" w:color="FFFFFF"/>
        </w:pBd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7701FB">
        <w:rPr>
          <w:rFonts w:ascii="Arial" w:eastAsia="Times New Roman" w:hAnsi="Arial" w:cs="Arial"/>
          <w:sz w:val="18"/>
          <w:szCs w:val="18"/>
          <w:lang w:eastAsia="it-IT"/>
        </w:rPr>
        <w:t xml:space="preserve">Di seguito vengono riportate una serie di tabelle sulla composizione del conto economico, sulla riclassificazione del Conto economico e dello Stato patrimoniale rispettivamente secondo il modello della produzione effettuata (c.d. </w:t>
      </w:r>
      <w:r w:rsidRPr="007701FB">
        <w:rPr>
          <w:rFonts w:ascii="Arial" w:eastAsia="Times New Roman" w:hAnsi="Arial" w:cs="Arial"/>
          <w:i/>
          <w:sz w:val="18"/>
          <w:szCs w:val="18"/>
          <w:lang w:eastAsia="it-IT"/>
        </w:rPr>
        <w:t>“modello della pertinenza gestionale”</w:t>
      </w:r>
      <w:r w:rsidRPr="007701FB">
        <w:rPr>
          <w:rFonts w:ascii="Arial" w:eastAsia="Times New Roman" w:hAnsi="Arial" w:cs="Arial"/>
          <w:sz w:val="18"/>
          <w:szCs w:val="18"/>
          <w:lang w:eastAsia="it-IT"/>
        </w:rPr>
        <w:t>) e secondo la metodologia finanziaria. In ultimo, una serie di indicatori di risultato finanziari, contenenti i valori relativi sia all’esercizio in chiusura che a quello precedente.</w:t>
      </w:r>
    </w:p>
    <w:tbl>
      <w:tblPr>
        <w:tblW w:w="7941" w:type="dxa"/>
        <w:tblInd w:w="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923"/>
        <w:gridCol w:w="494"/>
        <w:gridCol w:w="529"/>
        <w:gridCol w:w="911"/>
        <w:gridCol w:w="377"/>
        <w:gridCol w:w="1018"/>
      </w:tblGrid>
      <w:tr w:rsidR="007701FB" w:rsidRPr="007701FB" w14:paraId="4BA4CB2D" w14:textId="77777777" w:rsidTr="000A2507">
        <w:trPr>
          <w:trHeight w:val="414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1684C" w14:textId="77777777" w:rsidR="007701FB" w:rsidRPr="007701FB" w:rsidRDefault="007701FB" w:rsidP="007701FB">
            <w:pPr>
              <w:widowControl w:val="0"/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bookmarkStart w:id="0" w:name="RANGE!A2:E22"/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BILANCIO</w:t>
            </w:r>
            <w:bookmarkEnd w:id="0"/>
          </w:p>
        </w:tc>
        <w:tc>
          <w:tcPr>
            <w:tcW w:w="1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AFE2F" w14:textId="77777777" w:rsidR="007701FB" w:rsidRPr="007701FB" w:rsidRDefault="007701FB" w:rsidP="007701FB">
            <w:pPr>
              <w:widowControl w:val="0"/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2019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60AFE" w14:textId="77777777" w:rsidR="007701FB" w:rsidRPr="007701FB" w:rsidRDefault="007701FB" w:rsidP="007701FB">
            <w:pPr>
              <w:widowControl w:val="0"/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% Δ (19-18)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09BC5" w14:textId="77777777" w:rsidR="007701FB" w:rsidRPr="007701FB" w:rsidRDefault="007701FB" w:rsidP="007701FB">
            <w:pPr>
              <w:widowControl w:val="0"/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2018</w:t>
            </w:r>
          </w:p>
        </w:tc>
      </w:tr>
      <w:tr w:rsidR="007701FB" w:rsidRPr="007701FB" w14:paraId="77C4CBB6" w14:textId="77777777" w:rsidTr="000A2507">
        <w:trPr>
          <w:trHeight w:val="278"/>
        </w:trPr>
        <w:tc>
          <w:tcPr>
            <w:tcW w:w="3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36BCC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RICAVI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B1A8B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% </w:t>
            </w:r>
            <w:proofErr w:type="spellStart"/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comp</w:t>
            </w:r>
            <w:proofErr w:type="spellEnd"/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6317F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5974C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red"/>
                <w:lang w:eastAsia="it-IT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275C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</w:tr>
      <w:tr w:rsidR="007701FB" w:rsidRPr="007701FB" w14:paraId="79AF1789" w14:textId="77777777" w:rsidTr="000A2507">
        <w:trPr>
          <w:trHeight w:val="315"/>
        </w:trPr>
        <w:tc>
          <w:tcPr>
            <w:tcW w:w="3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7F668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Vendita aree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4E633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34,61 % 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FF404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1.446.014</w:t>
            </w: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0DD9" w14:textId="77777777" w:rsidR="007701FB" w:rsidRPr="007701FB" w:rsidRDefault="007701FB" w:rsidP="007701FB">
            <w:pPr>
              <w:spacing w:after="0" w:line="360" w:lineRule="auto"/>
              <w:ind w:left="-71"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+ 37,84 %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D3A36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1.049.056</w:t>
            </w:r>
          </w:p>
        </w:tc>
      </w:tr>
      <w:tr w:rsidR="007701FB" w:rsidRPr="007701FB" w14:paraId="2F7D46CE" w14:textId="77777777" w:rsidTr="000A2507">
        <w:trPr>
          <w:trHeight w:val="315"/>
        </w:trPr>
        <w:tc>
          <w:tcPr>
            <w:tcW w:w="3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6CE84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Locazione beni immobili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7F95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21,56 %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46AF8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900.653</w:t>
            </w: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7EE4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- 7,27 %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BFA6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971.316</w:t>
            </w:r>
          </w:p>
        </w:tc>
      </w:tr>
      <w:tr w:rsidR="007701FB" w:rsidRPr="007701FB" w14:paraId="254893F1" w14:textId="77777777" w:rsidTr="000A2507">
        <w:trPr>
          <w:trHeight w:val="315"/>
        </w:trPr>
        <w:tc>
          <w:tcPr>
            <w:tcW w:w="3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21E48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Locazione beni mobili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09B00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2,15 %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7501A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89.646</w:t>
            </w: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8CE16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- 1,77 %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6F744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91.260</w:t>
            </w:r>
          </w:p>
        </w:tc>
      </w:tr>
      <w:tr w:rsidR="007701FB" w:rsidRPr="007701FB" w14:paraId="1149ACC6" w14:textId="77777777" w:rsidTr="000A2507">
        <w:trPr>
          <w:trHeight w:val="315"/>
        </w:trPr>
        <w:tc>
          <w:tcPr>
            <w:tcW w:w="3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04CC7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Prestazioni servizi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E7264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41,20 %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929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1.721.269</w:t>
            </w: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73C6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+ 197,36 %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5085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578.859</w:t>
            </w:r>
          </w:p>
        </w:tc>
      </w:tr>
      <w:tr w:rsidR="007701FB" w:rsidRPr="007701FB" w14:paraId="28830AB9" w14:textId="77777777" w:rsidTr="000A2507">
        <w:trPr>
          <w:trHeight w:val="315"/>
        </w:trPr>
        <w:tc>
          <w:tcPr>
            <w:tcW w:w="3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5F315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Recupero oneri da imprese insediate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B4D97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0,48 %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DC4EFA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20.139</w:t>
            </w: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C4B4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=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D1F34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20.139</w:t>
            </w:r>
          </w:p>
        </w:tc>
      </w:tr>
      <w:tr w:rsidR="007701FB" w:rsidRPr="007701FB" w14:paraId="6AF81157" w14:textId="77777777" w:rsidTr="000A2507">
        <w:trPr>
          <w:trHeight w:val="315"/>
        </w:trPr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3F265C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7860" w14:textId="77777777" w:rsidR="007701FB" w:rsidRPr="007701FB" w:rsidRDefault="007701FB" w:rsidP="007701FB">
            <w:pPr>
              <w:spacing w:after="0" w:line="360" w:lineRule="auto"/>
              <w:ind w:left="-70" w:right="-17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100,00%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9FCBB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4.177.721</w:t>
            </w: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13D2A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46D0B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2.710.630</w:t>
            </w:r>
          </w:p>
        </w:tc>
      </w:tr>
      <w:tr w:rsidR="007701FB" w:rsidRPr="007701FB" w14:paraId="1A92D44F" w14:textId="77777777" w:rsidTr="000A2507">
        <w:trPr>
          <w:trHeight w:val="31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BE2859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RICAVI SENZA VENDITE AREE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EADFC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5533E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2.731.707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7624B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+ 64,41 %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298F6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1.661.574</w:t>
            </w:r>
          </w:p>
        </w:tc>
      </w:tr>
      <w:tr w:rsidR="007701FB" w:rsidRPr="007701FB" w14:paraId="0EF6FCF9" w14:textId="77777777" w:rsidTr="000A2507">
        <w:trPr>
          <w:trHeight w:val="315"/>
        </w:trPr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E7A45B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8FFBE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97D6D8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9E680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C81A8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701FB" w:rsidRPr="007701FB" w14:paraId="6216ECC4" w14:textId="77777777" w:rsidTr="000A2507">
        <w:trPr>
          <w:trHeight w:val="31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3A85C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COSTI PER IL PERSONALE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AB57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AFDAE3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722.917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CE55F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- 25,66 %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3C1D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972.481</w:t>
            </w:r>
          </w:p>
        </w:tc>
      </w:tr>
      <w:tr w:rsidR="007701FB" w:rsidRPr="007701FB" w14:paraId="1A937B53" w14:textId="77777777" w:rsidTr="000A2507">
        <w:trPr>
          <w:trHeight w:val="31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5F8F1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COSTI PER SERVIZI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BF1F1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6D93D3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2.056.155</w:t>
            </w: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E75C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88DD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1.404.247</w:t>
            </w:r>
          </w:p>
        </w:tc>
      </w:tr>
      <w:tr w:rsidR="007701FB" w:rsidRPr="007701FB" w14:paraId="54AF113C" w14:textId="77777777" w:rsidTr="000A2507">
        <w:trPr>
          <w:trHeight w:val="300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EEE5A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- di cui manutenzioni straordinarie su opere pubbliche finanziate con contributi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CC4F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BCD5D4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8640BC5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451AB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DE36F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1EB231F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359.148</w:t>
            </w:r>
          </w:p>
        </w:tc>
      </w:tr>
      <w:tr w:rsidR="007701FB" w:rsidRPr="007701FB" w14:paraId="148524CB" w14:textId="77777777" w:rsidTr="000A2507">
        <w:trPr>
          <w:trHeight w:val="31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514BF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COSTI PER SERVIZI NON FINANZIATI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B716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A17658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2.056.155</w:t>
            </w: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60661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+ 96,74 %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F8D1C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1.045.099</w:t>
            </w:r>
          </w:p>
        </w:tc>
      </w:tr>
      <w:tr w:rsidR="007701FB" w:rsidRPr="007701FB" w14:paraId="769D731E" w14:textId="77777777" w:rsidTr="000A2507">
        <w:trPr>
          <w:trHeight w:val="31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14D5F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COSTI PER GODIMENTO BENI DI TERZI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163F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C3578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200.447</w:t>
            </w: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1A7B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+ 0,63 %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0AB03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199.197</w:t>
            </w:r>
          </w:p>
        </w:tc>
      </w:tr>
      <w:tr w:rsidR="007701FB" w:rsidRPr="007701FB" w14:paraId="18969001" w14:textId="77777777" w:rsidTr="000A2507">
        <w:trPr>
          <w:trHeight w:val="300"/>
        </w:trPr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64EB8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B665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601A74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3C535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15FD7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</w:tr>
      <w:tr w:rsidR="007701FB" w:rsidRPr="007701FB" w14:paraId="69ECA9AF" w14:textId="77777777" w:rsidTr="000A2507">
        <w:trPr>
          <w:trHeight w:val="31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221F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TOTALE COSTI FISSI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DC19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4486F2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2.979.519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BFEA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+ 34,41 %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5138" w14:textId="77777777" w:rsidR="007701FB" w:rsidRPr="007701FB" w:rsidRDefault="007701FB" w:rsidP="007701FB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2.216.777</w:t>
            </w:r>
          </w:p>
        </w:tc>
      </w:tr>
      <w:tr w:rsidR="007701FB" w:rsidRPr="007701FB" w14:paraId="14D1ECC0" w14:textId="77777777" w:rsidTr="000A2507">
        <w:trPr>
          <w:trHeight w:val="315"/>
        </w:trPr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367E55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961F7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500776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B25B1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21B963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</w:p>
        </w:tc>
      </w:tr>
      <w:tr w:rsidR="007701FB" w:rsidRPr="007701FB" w14:paraId="3BD750BC" w14:textId="77777777" w:rsidTr="000A2507">
        <w:trPr>
          <w:trHeight w:val="315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36CC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Rapporto ricavi servizi con costi fissi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672108" w14:textId="77777777" w:rsidR="007701FB" w:rsidRPr="007701FB" w:rsidRDefault="007701FB" w:rsidP="007701FB">
            <w:pPr>
              <w:spacing w:after="0" w:line="360" w:lineRule="auto"/>
              <w:ind w:right="-17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AD91E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92,00 %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829FE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C3CD" w14:textId="77777777" w:rsidR="007701FB" w:rsidRPr="007701FB" w:rsidRDefault="007701FB" w:rsidP="007701FB">
            <w:pPr>
              <w:spacing w:after="0" w:line="360" w:lineRule="auto"/>
              <w:ind w:right="-17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75,00 %</w:t>
            </w:r>
          </w:p>
        </w:tc>
      </w:tr>
      <w:tr w:rsidR="007701FB" w:rsidRPr="007701FB" w14:paraId="332EA08D" w14:textId="77777777" w:rsidTr="000A2507">
        <w:trPr>
          <w:trHeight w:val="255"/>
        </w:trPr>
        <w:tc>
          <w:tcPr>
            <w:tcW w:w="79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411E27" w14:textId="77777777" w:rsidR="007701FB" w:rsidRPr="007701FB" w:rsidRDefault="007701FB" w:rsidP="007701FB">
            <w:pPr>
              <w:spacing w:after="0" w:line="360" w:lineRule="auto"/>
              <w:ind w:left="137" w:right="146" w:firstLine="362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Conto Economico riclassificato secondo il modello della pertinenza gestionale</w:t>
            </w:r>
          </w:p>
        </w:tc>
      </w:tr>
      <w:tr w:rsidR="007701FB" w:rsidRPr="007701FB" w14:paraId="4D671E8C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207A8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Aggregati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C87FA" w14:textId="77777777" w:rsidR="007701FB" w:rsidRPr="007701FB" w:rsidRDefault="007701FB" w:rsidP="007701FB">
            <w:pPr>
              <w:spacing w:after="0" w:line="360" w:lineRule="auto"/>
              <w:ind w:left="137" w:right="146" w:firstLine="77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2019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7AC2" w14:textId="77777777" w:rsidR="007701FB" w:rsidRPr="007701FB" w:rsidRDefault="007701FB" w:rsidP="007701FB">
            <w:pPr>
              <w:spacing w:after="0" w:line="360" w:lineRule="auto"/>
              <w:ind w:left="137" w:right="146" w:firstLine="77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2018</w:t>
            </w:r>
          </w:p>
        </w:tc>
      </w:tr>
      <w:tr w:rsidR="007701FB" w:rsidRPr="007701FB" w14:paraId="6BEC115F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BB1EF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Valore della produzione operativa (A.1 + A.2 + A.3 + A.4)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5E5D5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4.821.163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EE536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2.710.630</w:t>
            </w:r>
          </w:p>
        </w:tc>
      </w:tr>
      <w:tr w:rsidR="007701FB" w:rsidRPr="007701FB" w14:paraId="346686DE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351A9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- Costi esterni operativi (B.6 + B.7 + B.8 + B.11),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0ACD1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3.667.997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2A165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2.029.531</w:t>
            </w:r>
          </w:p>
        </w:tc>
      </w:tr>
      <w:tr w:rsidR="007701FB" w:rsidRPr="007701FB" w14:paraId="73B8FE68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0D10F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VALORE AGGIUNTO A-(B.6+B.7+B.8+B.11)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10132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2.593.010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79F59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2.666.888</w:t>
            </w:r>
          </w:p>
        </w:tc>
      </w:tr>
      <w:tr w:rsidR="007701FB" w:rsidRPr="007701FB" w14:paraId="01E7BAF9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DD43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- Spese per lavoro dipendente (B.9</w:t>
            </w:r>
            <w:proofErr w:type="gramStart"/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 ,</w:t>
            </w:r>
            <w:proofErr w:type="gram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90206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722.917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59E1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972.481</w:t>
            </w:r>
          </w:p>
        </w:tc>
      </w:tr>
      <w:tr w:rsidR="007701FB" w:rsidRPr="007701FB" w14:paraId="1ECF849D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C98B5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MOL     A-(B.6+B.7+B.8+B.9+B.11)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B35B6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1.870.093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850C6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1.694.407</w:t>
            </w:r>
          </w:p>
        </w:tc>
      </w:tr>
      <w:tr w:rsidR="007701FB" w:rsidRPr="007701FB" w14:paraId="724F3007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F35DB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- Ammortamenti e accantonamenti (B.10 + B.12 + B.13</w:t>
            </w:r>
            <w:proofErr w:type="gramStart"/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 ,</w:t>
            </w:r>
            <w:proofErr w:type="gram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1DC97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1.503.444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85203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1.637.233</w:t>
            </w:r>
          </w:p>
        </w:tc>
      </w:tr>
      <w:tr w:rsidR="007701FB" w:rsidRPr="007701FB" w14:paraId="04A00783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26ECF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REDDITO OPERATIVO A-</w:t>
            </w:r>
            <w:proofErr w:type="gramStart"/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B(</w:t>
            </w:r>
            <w:proofErr w:type="gramEnd"/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6+7+8+9+10+11+12+13)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1D531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366.649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C720C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57.174</w:t>
            </w:r>
          </w:p>
        </w:tc>
      </w:tr>
      <w:tr w:rsidR="007701FB" w:rsidRPr="007701FB" w14:paraId="34847688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CD534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+/- Reddito della gestione atipica (A.5 – B.14),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BF09A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1.236.690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A0D13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1.778.141</w:t>
            </w:r>
          </w:p>
        </w:tc>
      </w:tr>
      <w:tr w:rsidR="007701FB" w:rsidRPr="007701FB" w14:paraId="2902DBF4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41712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+/- Reddito della gestione finanziaria C (al netto di C</w:t>
            </w:r>
            <w:proofErr w:type="gramStart"/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17)+</w:t>
            </w:r>
            <w:proofErr w:type="gramEnd"/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5FB4E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455.989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6E382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566.017</w:t>
            </w:r>
          </w:p>
        </w:tc>
      </w:tr>
      <w:tr w:rsidR="007701FB" w:rsidRPr="007701FB" w14:paraId="5B8CF9AD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CDE6E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EBIT (A-B+/-</w:t>
            </w:r>
            <w:proofErr w:type="gramStart"/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C(</w:t>
            </w:r>
            <w:proofErr w:type="gramEnd"/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 netto di C17)+/-D)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E040C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619.484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DEAFF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415.543</w:t>
            </w:r>
          </w:p>
        </w:tc>
      </w:tr>
      <w:tr w:rsidR="007701FB" w:rsidRPr="007701FB" w14:paraId="05F93FAE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345CB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- Oneri finanziari (C.17)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95323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433.934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7501D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548.010</w:t>
            </w:r>
          </w:p>
        </w:tc>
      </w:tr>
      <w:tr w:rsidR="007701FB" w:rsidRPr="007701FB" w14:paraId="57E9D5CA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CB334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RISULTATO LORDO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A62F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185.550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B402C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- 132.467</w:t>
            </w:r>
          </w:p>
        </w:tc>
      </w:tr>
      <w:tr w:rsidR="007701FB" w:rsidRPr="007701FB" w14:paraId="496A825B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B7F53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- Imposte sul reddito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05DEE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113.921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057F1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43.246</w:t>
            </w:r>
          </w:p>
        </w:tc>
      </w:tr>
      <w:tr w:rsidR="007701FB" w:rsidRPr="007701FB" w14:paraId="45480560" w14:textId="77777777" w:rsidTr="000A2507">
        <w:trPr>
          <w:trHeight w:val="405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7B3AE" w14:textId="77777777" w:rsidR="007701FB" w:rsidRPr="007701FB" w:rsidRDefault="007701FB" w:rsidP="007701FB">
            <w:pPr>
              <w:spacing w:after="0" w:line="360" w:lineRule="auto"/>
              <w:ind w:left="137" w:right="146" w:hanging="6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REDDITO NETTO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CCCA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71.629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12C2A" w14:textId="77777777" w:rsidR="007701FB" w:rsidRPr="007701FB" w:rsidRDefault="007701FB" w:rsidP="007701FB">
            <w:pPr>
              <w:spacing w:after="0" w:line="240" w:lineRule="auto"/>
              <w:ind w:left="137" w:right="146" w:firstLine="77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- 175.713</w:t>
            </w:r>
          </w:p>
        </w:tc>
      </w:tr>
      <w:tr w:rsidR="007701FB" w:rsidRPr="007701FB" w14:paraId="08A06F79" w14:textId="77777777" w:rsidTr="000A2507">
        <w:trPr>
          <w:trHeight w:val="255"/>
        </w:trPr>
        <w:tc>
          <w:tcPr>
            <w:tcW w:w="7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2FD9A" w14:textId="77777777" w:rsidR="007701FB" w:rsidRPr="007701FB" w:rsidRDefault="007701FB" w:rsidP="007701FB">
            <w:pPr>
              <w:spacing w:after="0" w:line="360" w:lineRule="auto"/>
              <w:ind w:left="-70" w:right="146" w:hanging="5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</w:p>
          <w:tbl>
            <w:tblPr>
              <w:tblW w:w="7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0"/>
              <w:gridCol w:w="1417"/>
              <w:gridCol w:w="1278"/>
            </w:tblGrid>
            <w:tr w:rsidR="007701FB" w:rsidRPr="007701FB" w14:paraId="1BE8ABA9" w14:textId="77777777" w:rsidTr="000A2507">
              <w:trPr>
                <w:trHeight w:val="403"/>
              </w:trPr>
              <w:tc>
                <w:tcPr>
                  <w:tcW w:w="3256" w:type="pct"/>
                  <w:shd w:val="clear" w:color="auto" w:fill="auto"/>
                  <w:noWrap/>
                  <w:vAlign w:val="bottom"/>
                </w:tcPr>
                <w:p w14:paraId="48C7F2F5" w14:textId="77777777" w:rsidR="007701FB" w:rsidRPr="007701FB" w:rsidRDefault="007701FB" w:rsidP="007701FB">
                  <w:pPr>
                    <w:spacing w:after="0" w:line="360" w:lineRule="auto"/>
                    <w:ind w:left="38" w:right="146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Indicatori di risultato finanziari</w:t>
                  </w:r>
                </w:p>
              </w:tc>
              <w:tc>
                <w:tcPr>
                  <w:tcW w:w="917" w:type="pct"/>
                  <w:shd w:val="clear" w:color="auto" w:fill="auto"/>
                  <w:noWrap/>
                </w:tcPr>
                <w:p w14:paraId="39C07E24" w14:textId="77777777" w:rsidR="007701FB" w:rsidRPr="007701FB" w:rsidRDefault="007701FB" w:rsidP="007701FB">
                  <w:pPr>
                    <w:spacing w:after="0" w:line="36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2019</w:t>
                  </w:r>
                </w:p>
              </w:tc>
              <w:tc>
                <w:tcPr>
                  <w:tcW w:w="827" w:type="pct"/>
                </w:tcPr>
                <w:p w14:paraId="28B3FC74" w14:textId="77777777" w:rsidR="007701FB" w:rsidRPr="007701FB" w:rsidRDefault="007701FB" w:rsidP="007701FB">
                  <w:pPr>
                    <w:spacing w:after="0" w:line="36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2018</w:t>
                  </w:r>
                </w:p>
              </w:tc>
            </w:tr>
            <w:tr w:rsidR="007701FB" w:rsidRPr="007701FB" w14:paraId="4D378E23" w14:textId="77777777" w:rsidTr="000A2507">
              <w:trPr>
                <w:trHeight w:val="403"/>
              </w:trPr>
              <w:tc>
                <w:tcPr>
                  <w:tcW w:w="3256" w:type="pct"/>
                  <w:shd w:val="clear" w:color="auto" w:fill="auto"/>
                  <w:noWrap/>
                  <w:vAlign w:val="bottom"/>
                </w:tcPr>
                <w:p w14:paraId="480E2ABE" w14:textId="77777777" w:rsidR="007701FB" w:rsidRPr="007701FB" w:rsidRDefault="007701FB" w:rsidP="007701FB">
                  <w:pPr>
                    <w:spacing w:after="0" w:line="360" w:lineRule="auto"/>
                    <w:ind w:left="38" w:right="146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Peso delle immobilizzazioni (I/totale attività)</w:t>
                  </w:r>
                </w:p>
              </w:tc>
              <w:tc>
                <w:tcPr>
                  <w:tcW w:w="917" w:type="pct"/>
                  <w:shd w:val="clear" w:color="auto" w:fill="auto"/>
                  <w:noWrap/>
                </w:tcPr>
                <w:p w14:paraId="628A8547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42,56%</w:t>
                  </w:r>
                </w:p>
              </w:tc>
              <w:tc>
                <w:tcPr>
                  <w:tcW w:w="827" w:type="pct"/>
                </w:tcPr>
                <w:p w14:paraId="7727CEDB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44,15%</w:t>
                  </w:r>
                </w:p>
              </w:tc>
            </w:tr>
            <w:tr w:rsidR="007701FB" w:rsidRPr="007701FB" w14:paraId="599051E7" w14:textId="77777777" w:rsidTr="000A2507">
              <w:trPr>
                <w:trHeight w:val="403"/>
              </w:trPr>
              <w:tc>
                <w:tcPr>
                  <w:tcW w:w="3256" w:type="pct"/>
                  <w:shd w:val="clear" w:color="auto" w:fill="auto"/>
                  <w:noWrap/>
                  <w:vAlign w:val="bottom"/>
                </w:tcPr>
                <w:p w14:paraId="6754A1D0" w14:textId="77777777" w:rsidR="007701FB" w:rsidRPr="007701FB" w:rsidRDefault="007701FB" w:rsidP="007701FB">
                  <w:pPr>
                    <w:spacing w:after="0" w:line="360" w:lineRule="auto"/>
                    <w:ind w:left="38" w:right="146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Peso del capitale circolante (C/totale attività)</w:t>
                  </w:r>
                </w:p>
              </w:tc>
              <w:tc>
                <w:tcPr>
                  <w:tcW w:w="917" w:type="pct"/>
                  <w:shd w:val="clear" w:color="auto" w:fill="auto"/>
                  <w:noWrap/>
                </w:tcPr>
                <w:p w14:paraId="34D0A53F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57,44%</w:t>
                  </w:r>
                </w:p>
              </w:tc>
              <w:tc>
                <w:tcPr>
                  <w:tcW w:w="827" w:type="pct"/>
                </w:tcPr>
                <w:p w14:paraId="43601EF4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55,85%</w:t>
                  </w:r>
                </w:p>
              </w:tc>
            </w:tr>
            <w:tr w:rsidR="007701FB" w:rsidRPr="007701FB" w14:paraId="22577C21" w14:textId="77777777" w:rsidTr="000A2507">
              <w:trPr>
                <w:trHeight w:val="403"/>
              </w:trPr>
              <w:tc>
                <w:tcPr>
                  <w:tcW w:w="3256" w:type="pct"/>
                  <w:shd w:val="clear" w:color="auto" w:fill="auto"/>
                  <w:noWrap/>
                  <w:vAlign w:val="bottom"/>
                </w:tcPr>
                <w:p w14:paraId="10A2EDE7" w14:textId="77777777" w:rsidR="007701FB" w:rsidRPr="007701FB" w:rsidRDefault="007701FB" w:rsidP="007701FB">
                  <w:pPr>
                    <w:spacing w:after="0" w:line="360" w:lineRule="auto"/>
                    <w:ind w:left="38" w:right="146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Peso del capitale proprio (PN/totale passività)</w:t>
                  </w:r>
                </w:p>
              </w:tc>
              <w:tc>
                <w:tcPr>
                  <w:tcW w:w="917" w:type="pct"/>
                  <w:shd w:val="clear" w:color="auto" w:fill="auto"/>
                  <w:noWrap/>
                </w:tcPr>
                <w:p w14:paraId="558D685F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19,30%</w:t>
                  </w:r>
                </w:p>
              </w:tc>
              <w:tc>
                <w:tcPr>
                  <w:tcW w:w="827" w:type="pct"/>
                </w:tcPr>
                <w:p w14:paraId="2CE9D9DB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19,41%</w:t>
                  </w:r>
                </w:p>
              </w:tc>
            </w:tr>
            <w:tr w:rsidR="007701FB" w:rsidRPr="007701FB" w14:paraId="345D37F1" w14:textId="77777777" w:rsidTr="000A2507">
              <w:trPr>
                <w:trHeight w:val="403"/>
              </w:trPr>
              <w:tc>
                <w:tcPr>
                  <w:tcW w:w="3256" w:type="pct"/>
                  <w:shd w:val="clear" w:color="auto" w:fill="auto"/>
                  <w:noWrap/>
                  <w:vAlign w:val="bottom"/>
                </w:tcPr>
                <w:p w14:paraId="1141C21A" w14:textId="77777777" w:rsidR="007701FB" w:rsidRPr="007701FB" w:rsidRDefault="007701FB" w:rsidP="007701FB">
                  <w:pPr>
                    <w:spacing w:after="0" w:line="360" w:lineRule="auto"/>
                    <w:ind w:left="38" w:right="146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Peso delle passività consolidate (P/totale passività)</w:t>
                  </w:r>
                </w:p>
              </w:tc>
              <w:tc>
                <w:tcPr>
                  <w:tcW w:w="917" w:type="pct"/>
                  <w:shd w:val="clear" w:color="auto" w:fill="auto"/>
                  <w:noWrap/>
                </w:tcPr>
                <w:p w14:paraId="22C01732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59,58%</w:t>
                  </w:r>
                </w:p>
              </w:tc>
              <w:tc>
                <w:tcPr>
                  <w:tcW w:w="827" w:type="pct"/>
                </w:tcPr>
                <w:p w14:paraId="3E469209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66,57%</w:t>
                  </w:r>
                </w:p>
              </w:tc>
            </w:tr>
            <w:tr w:rsidR="007701FB" w:rsidRPr="007701FB" w14:paraId="6C2F6A18" w14:textId="77777777" w:rsidTr="000A2507">
              <w:trPr>
                <w:trHeight w:val="403"/>
              </w:trPr>
              <w:tc>
                <w:tcPr>
                  <w:tcW w:w="3256" w:type="pct"/>
                  <w:shd w:val="clear" w:color="auto" w:fill="auto"/>
                  <w:noWrap/>
                  <w:vAlign w:val="bottom"/>
                </w:tcPr>
                <w:p w14:paraId="7737D5C4" w14:textId="77777777" w:rsidR="007701FB" w:rsidRPr="007701FB" w:rsidRDefault="007701FB" w:rsidP="007701FB">
                  <w:pPr>
                    <w:spacing w:after="0" w:line="360" w:lineRule="auto"/>
                    <w:ind w:left="38" w:right="146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Peso delle passività correnti (p/totale passività)</w:t>
                  </w:r>
                </w:p>
              </w:tc>
              <w:tc>
                <w:tcPr>
                  <w:tcW w:w="917" w:type="pct"/>
                  <w:shd w:val="clear" w:color="auto" w:fill="auto"/>
                  <w:noWrap/>
                </w:tcPr>
                <w:p w14:paraId="3410A967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21,13%</w:t>
                  </w:r>
                </w:p>
              </w:tc>
              <w:tc>
                <w:tcPr>
                  <w:tcW w:w="827" w:type="pct"/>
                </w:tcPr>
                <w:p w14:paraId="7E3FAF27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14,02%</w:t>
                  </w:r>
                </w:p>
              </w:tc>
            </w:tr>
            <w:tr w:rsidR="007701FB" w:rsidRPr="007701FB" w14:paraId="0ED1CD3B" w14:textId="77777777" w:rsidTr="000A2507">
              <w:trPr>
                <w:trHeight w:val="403"/>
              </w:trPr>
              <w:tc>
                <w:tcPr>
                  <w:tcW w:w="3256" w:type="pct"/>
                  <w:shd w:val="clear" w:color="auto" w:fill="auto"/>
                  <w:noWrap/>
                  <w:vAlign w:val="bottom"/>
                </w:tcPr>
                <w:p w14:paraId="72060F87" w14:textId="77777777" w:rsidR="007701FB" w:rsidRPr="007701FB" w:rsidRDefault="007701FB" w:rsidP="007701FB">
                  <w:pPr>
                    <w:spacing w:after="0" w:line="360" w:lineRule="auto"/>
                    <w:ind w:left="38" w:right="146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Indice di disponibilità (C/passività correnti)</w:t>
                  </w:r>
                </w:p>
              </w:tc>
              <w:tc>
                <w:tcPr>
                  <w:tcW w:w="917" w:type="pct"/>
                  <w:shd w:val="clear" w:color="auto" w:fill="auto"/>
                  <w:noWrap/>
                </w:tcPr>
                <w:p w14:paraId="6D8EB523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271,90%</w:t>
                  </w:r>
                </w:p>
              </w:tc>
              <w:tc>
                <w:tcPr>
                  <w:tcW w:w="827" w:type="pct"/>
                </w:tcPr>
                <w:p w14:paraId="16C7ECBD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398,51%</w:t>
                  </w:r>
                </w:p>
              </w:tc>
            </w:tr>
            <w:tr w:rsidR="007701FB" w:rsidRPr="007701FB" w14:paraId="118C64E3" w14:textId="77777777" w:rsidTr="000A2507">
              <w:trPr>
                <w:trHeight w:val="403"/>
              </w:trPr>
              <w:tc>
                <w:tcPr>
                  <w:tcW w:w="3256" w:type="pct"/>
                  <w:shd w:val="clear" w:color="auto" w:fill="auto"/>
                  <w:noWrap/>
                  <w:vAlign w:val="bottom"/>
                </w:tcPr>
                <w:p w14:paraId="21BAF740" w14:textId="77777777" w:rsidR="007701FB" w:rsidRPr="007701FB" w:rsidRDefault="007701FB" w:rsidP="007701FB">
                  <w:pPr>
                    <w:spacing w:after="0" w:line="360" w:lineRule="auto"/>
                    <w:ind w:left="38" w:right="146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Indice di liquidità (</w:t>
                  </w:r>
                  <w:proofErr w:type="spellStart"/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Li+</w:t>
                  </w:r>
                  <w:proofErr w:type="gramStart"/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Ld</w:t>
                  </w:r>
                  <w:proofErr w:type="spellEnd"/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)/</w:t>
                  </w:r>
                  <w:proofErr w:type="gramEnd"/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passività correnti</w:t>
                  </w:r>
                </w:p>
              </w:tc>
              <w:tc>
                <w:tcPr>
                  <w:tcW w:w="917" w:type="pct"/>
                  <w:shd w:val="clear" w:color="auto" w:fill="auto"/>
                  <w:noWrap/>
                </w:tcPr>
                <w:p w14:paraId="1CAC092D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198,25%</w:t>
                  </w:r>
                </w:p>
              </w:tc>
              <w:tc>
                <w:tcPr>
                  <w:tcW w:w="827" w:type="pct"/>
                </w:tcPr>
                <w:p w14:paraId="0EE8BC4C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272,85%</w:t>
                  </w:r>
                </w:p>
              </w:tc>
            </w:tr>
            <w:tr w:rsidR="007701FB" w:rsidRPr="007701FB" w14:paraId="0CA33E85" w14:textId="77777777" w:rsidTr="000A2507">
              <w:trPr>
                <w:trHeight w:val="403"/>
              </w:trPr>
              <w:tc>
                <w:tcPr>
                  <w:tcW w:w="3256" w:type="pct"/>
                  <w:shd w:val="clear" w:color="auto" w:fill="auto"/>
                  <w:noWrap/>
                  <w:vAlign w:val="bottom"/>
                </w:tcPr>
                <w:p w14:paraId="5207118F" w14:textId="77777777" w:rsidR="007701FB" w:rsidRPr="007701FB" w:rsidRDefault="007701FB" w:rsidP="007701FB">
                  <w:pPr>
                    <w:spacing w:after="0" w:line="360" w:lineRule="auto"/>
                    <w:ind w:left="38" w:right="146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 xml:space="preserve">Indice di </w:t>
                  </w:r>
                  <w:proofErr w:type="spellStart"/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autocopertura</w:t>
                  </w:r>
                  <w:proofErr w:type="spellEnd"/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 xml:space="preserve"> del capitale fisso (PN/I)</w:t>
                  </w:r>
                </w:p>
              </w:tc>
              <w:tc>
                <w:tcPr>
                  <w:tcW w:w="917" w:type="pct"/>
                  <w:shd w:val="clear" w:color="auto" w:fill="auto"/>
                  <w:noWrap/>
                </w:tcPr>
                <w:p w14:paraId="74398485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45,34%</w:t>
                  </w:r>
                </w:p>
              </w:tc>
              <w:tc>
                <w:tcPr>
                  <w:tcW w:w="827" w:type="pct"/>
                </w:tcPr>
                <w:p w14:paraId="5D9DDFE5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43,97%</w:t>
                  </w:r>
                </w:p>
              </w:tc>
            </w:tr>
            <w:tr w:rsidR="007701FB" w:rsidRPr="007701FB" w14:paraId="504E105A" w14:textId="77777777" w:rsidTr="000A2507">
              <w:trPr>
                <w:trHeight w:val="403"/>
              </w:trPr>
              <w:tc>
                <w:tcPr>
                  <w:tcW w:w="3256" w:type="pct"/>
                  <w:shd w:val="clear" w:color="auto" w:fill="auto"/>
                  <w:noWrap/>
                  <w:vAlign w:val="bottom"/>
                </w:tcPr>
                <w:p w14:paraId="6DA21E20" w14:textId="77777777" w:rsidR="007701FB" w:rsidRPr="007701FB" w:rsidRDefault="007701FB" w:rsidP="007701FB">
                  <w:pPr>
                    <w:spacing w:after="0" w:line="360" w:lineRule="auto"/>
                    <w:ind w:left="38" w:right="146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ROE (</w:t>
                  </w:r>
                  <w:proofErr w:type="spellStart"/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Rn</w:t>
                  </w:r>
                  <w:proofErr w:type="spellEnd"/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/N)</w:t>
                  </w:r>
                </w:p>
              </w:tc>
              <w:tc>
                <w:tcPr>
                  <w:tcW w:w="917" w:type="pct"/>
                  <w:shd w:val="clear" w:color="auto" w:fill="auto"/>
                  <w:noWrap/>
                </w:tcPr>
                <w:p w14:paraId="7F6A9919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0,63%</w:t>
                  </w:r>
                </w:p>
              </w:tc>
              <w:tc>
                <w:tcPr>
                  <w:tcW w:w="827" w:type="pct"/>
                </w:tcPr>
                <w:p w14:paraId="37804E71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-1,56%</w:t>
                  </w:r>
                </w:p>
              </w:tc>
            </w:tr>
            <w:tr w:rsidR="007701FB" w:rsidRPr="007701FB" w14:paraId="47260D67" w14:textId="77777777" w:rsidTr="000A2507">
              <w:trPr>
                <w:trHeight w:val="403"/>
              </w:trPr>
              <w:tc>
                <w:tcPr>
                  <w:tcW w:w="3256" w:type="pct"/>
                  <w:shd w:val="clear" w:color="auto" w:fill="auto"/>
                  <w:noWrap/>
                  <w:vAlign w:val="bottom"/>
                </w:tcPr>
                <w:p w14:paraId="5DD63B96" w14:textId="77777777" w:rsidR="007701FB" w:rsidRPr="007701FB" w:rsidRDefault="007701FB" w:rsidP="007701FB">
                  <w:pPr>
                    <w:spacing w:after="0" w:line="360" w:lineRule="auto"/>
                    <w:ind w:left="38" w:right="146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ROI (</w:t>
                  </w:r>
                  <w:proofErr w:type="spellStart"/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Rn</w:t>
                  </w:r>
                  <w:proofErr w:type="spellEnd"/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 xml:space="preserve">/investimento </w:t>
                  </w:r>
                  <w:proofErr w:type="gramStart"/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totale )</w:t>
                  </w:r>
                  <w:proofErr w:type="gramEnd"/>
                </w:p>
              </w:tc>
              <w:tc>
                <w:tcPr>
                  <w:tcW w:w="917" w:type="pct"/>
                  <w:shd w:val="clear" w:color="auto" w:fill="auto"/>
                  <w:noWrap/>
                </w:tcPr>
                <w:p w14:paraId="7EB8E319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0,12%</w:t>
                  </w:r>
                </w:p>
              </w:tc>
              <w:tc>
                <w:tcPr>
                  <w:tcW w:w="827" w:type="pct"/>
                </w:tcPr>
                <w:p w14:paraId="15ED2EB8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-0,30%</w:t>
                  </w:r>
                </w:p>
              </w:tc>
            </w:tr>
            <w:tr w:rsidR="007701FB" w:rsidRPr="007701FB" w14:paraId="495C1BC6" w14:textId="77777777" w:rsidTr="000A2507">
              <w:trPr>
                <w:trHeight w:val="403"/>
              </w:trPr>
              <w:tc>
                <w:tcPr>
                  <w:tcW w:w="3256" w:type="pct"/>
                  <w:shd w:val="clear" w:color="auto" w:fill="auto"/>
                  <w:noWrap/>
                  <w:vAlign w:val="bottom"/>
                </w:tcPr>
                <w:p w14:paraId="19DD09FA" w14:textId="77777777" w:rsidR="007701FB" w:rsidRPr="007701FB" w:rsidRDefault="007701FB" w:rsidP="007701FB">
                  <w:pPr>
                    <w:spacing w:after="0" w:line="360" w:lineRule="auto"/>
                    <w:ind w:left="38" w:right="146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ROS (Risultato operativo/ricavi di vendita)</w:t>
                  </w:r>
                </w:p>
              </w:tc>
              <w:tc>
                <w:tcPr>
                  <w:tcW w:w="917" w:type="pct"/>
                  <w:shd w:val="clear" w:color="auto" w:fill="auto"/>
                  <w:noWrap/>
                </w:tcPr>
                <w:p w14:paraId="4FD48254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8,78%</w:t>
                  </w:r>
                </w:p>
              </w:tc>
              <w:tc>
                <w:tcPr>
                  <w:tcW w:w="827" w:type="pct"/>
                </w:tcPr>
                <w:p w14:paraId="2698A76F" w14:textId="77777777" w:rsidR="007701FB" w:rsidRPr="007701FB" w:rsidRDefault="007701FB" w:rsidP="007701FB">
                  <w:pPr>
                    <w:spacing w:after="0" w:line="240" w:lineRule="auto"/>
                    <w:ind w:left="-70" w:right="146" w:hanging="5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7701FB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2,11%</w:t>
                  </w:r>
                </w:p>
              </w:tc>
            </w:tr>
          </w:tbl>
          <w:p w14:paraId="6DA25B96" w14:textId="77777777" w:rsidR="007701FB" w:rsidRPr="007701FB" w:rsidRDefault="007701FB" w:rsidP="007701FB">
            <w:pPr>
              <w:spacing w:after="0" w:line="360" w:lineRule="auto"/>
              <w:ind w:left="-70" w:right="146" w:hanging="5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</w:p>
        </w:tc>
      </w:tr>
      <w:tr w:rsidR="007701FB" w:rsidRPr="007701FB" w14:paraId="13152DC6" w14:textId="77777777" w:rsidTr="000A2507">
        <w:trPr>
          <w:trHeight w:val="255"/>
        </w:trPr>
        <w:tc>
          <w:tcPr>
            <w:tcW w:w="7941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E130AE" w14:textId="77777777" w:rsidR="007701FB" w:rsidRPr="007701FB" w:rsidRDefault="007701FB" w:rsidP="007701FB">
            <w:pPr>
              <w:spacing w:after="0" w:line="360" w:lineRule="auto"/>
              <w:ind w:left="-70" w:right="146" w:hanging="5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</w:p>
        </w:tc>
      </w:tr>
    </w:tbl>
    <w:p w14:paraId="2E89BF00" w14:textId="77777777" w:rsidR="007701FB" w:rsidRPr="007701FB" w:rsidRDefault="007701FB" w:rsidP="007701FB">
      <w:pPr>
        <w:widowControl w:val="0"/>
        <w:spacing w:after="0" w:line="360" w:lineRule="auto"/>
        <w:ind w:right="-28"/>
        <w:jc w:val="both"/>
        <w:rPr>
          <w:rFonts w:ascii="Arial" w:eastAsia="Times New Roman" w:hAnsi="Arial" w:cs="Arial"/>
          <w:b/>
          <w:snapToGrid w:val="0"/>
          <w:sz w:val="18"/>
          <w:szCs w:val="18"/>
          <w:lang w:eastAsia="it-IT"/>
        </w:rPr>
      </w:pPr>
    </w:p>
    <w:p w14:paraId="12E784E9" w14:textId="167F2FC1" w:rsidR="007701FB" w:rsidRPr="007701FB" w:rsidRDefault="007701FB" w:rsidP="007701FB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it-IT"/>
        </w:rPr>
      </w:pPr>
    </w:p>
    <w:tbl>
      <w:tblPr>
        <w:tblW w:w="4855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1357"/>
        <w:gridCol w:w="1243"/>
        <w:gridCol w:w="1529"/>
        <w:gridCol w:w="1187"/>
        <w:gridCol w:w="1303"/>
        <w:gridCol w:w="195"/>
      </w:tblGrid>
      <w:tr w:rsidR="007701FB" w:rsidRPr="007701FB" w14:paraId="50429BF2" w14:textId="77777777" w:rsidTr="000A2507">
        <w:trPr>
          <w:trHeight w:val="289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E2A78C" w14:textId="77777777" w:rsidR="007701FB" w:rsidRPr="007701FB" w:rsidRDefault="007701FB" w:rsidP="007701FB">
            <w:pPr>
              <w:spacing w:after="0" w:line="360" w:lineRule="auto"/>
              <w:ind w:left="76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Stato patrimoniale riclassificato secondo il criterio finanziario</w:t>
            </w:r>
          </w:p>
        </w:tc>
      </w:tr>
      <w:tr w:rsidR="007701FB" w:rsidRPr="007701FB" w14:paraId="03628C1A" w14:textId="77777777" w:rsidTr="000A2507">
        <w:trPr>
          <w:gridAfter w:val="1"/>
          <w:wAfter w:w="104" w:type="pct"/>
          <w:trHeight w:val="289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576F2" w14:textId="77777777" w:rsidR="007701FB" w:rsidRPr="007701FB" w:rsidRDefault="007701FB" w:rsidP="007701FB">
            <w:pPr>
              <w:spacing w:after="0" w:line="360" w:lineRule="auto"/>
              <w:ind w:right="-73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IMPIEGHI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0E833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2019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8AE8A" w14:textId="77777777" w:rsidR="007701FB" w:rsidRPr="007701FB" w:rsidRDefault="007701FB" w:rsidP="007701FB">
            <w:pPr>
              <w:spacing w:after="0" w:line="360" w:lineRule="auto"/>
              <w:ind w:right="-12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2018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BEF2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FONTI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62972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2019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0EAF5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2018</w:t>
            </w:r>
          </w:p>
        </w:tc>
      </w:tr>
      <w:tr w:rsidR="007701FB" w:rsidRPr="007701FB" w14:paraId="3374ED6A" w14:textId="77777777" w:rsidTr="000A2507">
        <w:trPr>
          <w:gridAfter w:val="1"/>
          <w:wAfter w:w="104" w:type="pct"/>
          <w:trHeight w:val="241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585C7" w14:textId="77777777" w:rsidR="007701FB" w:rsidRPr="007701FB" w:rsidRDefault="007701FB" w:rsidP="007701FB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Immobilizzazioni immateriali (B.I)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A164F" w14:textId="77777777" w:rsidR="007701FB" w:rsidRPr="007701FB" w:rsidRDefault="007701FB" w:rsidP="00770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1.546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6A7A5" w14:textId="77777777" w:rsidR="007701FB" w:rsidRPr="007701FB" w:rsidRDefault="007701FB" w:rsidP="00770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2.456</w:t>
            </w:r>
          </w:p>
        </w:tc>
        <w:tc>
          <w:tcPr>
            <w:tcW w:w="8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41B4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CAPITALE PERMANENTE (capitale proprio + debiti a lungo)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6B4A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46.424.360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A1A4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49.988.061</w:t>
            </w:r>
          </w:p>
        </w:tc>
      </w:tr>
      <w:tr w:rsidR="007701FB" w:rsidRPr="007701FB" w14:paraId="2817DC00" w14:textId="77777777" w:rsidTr="000A2507">
        <w:trPr>
          <w:gridAfter w:val="1"/>
          <w:wAfter w:w="104" w:type="pct"/>
          <w:trHeight w:val="241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4D75F" w14:textId="77777777" w:rsidR="007701FB" w:rsidRPr="007701FB" w:rsidRDefault="007701FB" w:rsidP="007701FB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Immobilizzazioni materiali (B.II)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2583" w14:textId="77777777" w:rsidR="007701FB" w:rsidRPr="007701FB" w:rsidRDefault="007701FB" w:rsidP="00770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25.047.878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EFCC" w14:textId="77777777" w:rsidR="007701FB" w:rsidRPr="007701FB" w:rsidRDefault="007701FB" w:rsidP="00770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25.663.639</w:t>
            </w: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63D0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0266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C2BE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701FB" w:rsidRPr="007701FB" w14:paraId="619F14E2" w14:textId="77777777" w:rsidTr="000A2507">
        <w:trPr>
          <w:gridAfter w:val="1"/>
          <w:wAfter w:w="104" w:type="pct"/>
          <w:trHeight w:val="241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FB1E9" w14:textId="77777777" w:rsidR="007701FB" w:rsidRPr="007701FB" w:rsidRDefault="007701FB" w:rsidP="007701FB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immobilizzazioni finanziarie (B.III)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FD2E" w14:textId="77777777" w:rsidR="007701FB" w:rsidRPr="007701FB" w:rsidRDefault="007701FB" w:rsidP="00770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96C3" w14:textId="77777777" w:rsidR="007701FB" w:rsidRPr="007701FB" w:rsidRDefault="007701FB" w:rsidP="00770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BADC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8C38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3BC0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701FB" w:rsidRPr="007701FB" w14:paraId="0D21B656" w14:textId="77777777" w:rsidTr="000A2507">
        <w:trPr>
          <w:gridAfter w:val="1"/>
          <w:wAfter w:w="104" w:type="pct"/>
          <w:trHeight w:val="241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0FDAA" w14:textId="77777777" w:rsidR="007701FB" w:rsidRPr="007701FB" w:rsidRDefault="007701FB" w:rsidP="007701FB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Rimanenze (C.I)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3B3F" w14:textId="77777777" w:rsidR="007701FB" w:rsidRPr="007701FB" w:rsidRDefault="007701FB" w:rsidP="00770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9.157.562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CD95" w14:textId="77777777" w:rsidR="007701FB" w:rsidRPr="007701FB" w:rsidRDefault="007701FB" w:rsidP="00770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10.238.931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A3F9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EF1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31F7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701FB" w:rsidRPr="007701FB" w14:paraId="04F34650" w14:textId="77777777" w:rsidTr="000A2507">
        <w:trPr>
          <w:gridAfter w:val="1"/>
          <w:wAfter w:w="104" w:type="pct"/>
          <w:trHeight w:val="241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CC068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TOTALI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3457" w14:textId="77777777" w:rsidR="007701FB" w:rsidRPr="007701FB" w:rsidRDefault="007701FB" w:rsidP="00770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34.206.986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D049" w14:textId="77777777" w:rsidR="007701FB" w:rsidRPr="007701FB" w:rsidRDefault="007701FB" w:rsidP="00770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35.905.026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62D3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1E7B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28C1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701FB" w:rsidRPr="007701FB" w14:paraId="7CB4F843" w14:textId="77777777" w:rsidTr="000A2507">
        <w:trPr>
          <w:gridAfter w:val="1"/>
          <w:wAfter w:w="104" w:type="pct"/>
          <w:trHeight w:val="241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D2882" w14:textId="77777777" w:rsidR="007701FB" w:rsidRPr="007701FB" w:rsidRDefault="007701FB" w:rsidP="007701FB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Liquidità differite </w:t>
            </w:r>
            <w:proofErr w:type="spellStart"/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Ld</w:t>
            </w:r>
            <w:proofErr w:type="spellEnd"/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(A +</w:t>
            </w:r>
            <w:proofErr w:type="gramStart"/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C.II</w:t>
            </w:r>
            <w:proofErr w:type="gramEnd"/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+C.III+D)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B49A" w14:textId="77777777" w:rsidR="007701FB" w:rsidRPr="007701FB" w:rsidRDefault="007701FB" w:rsidP="007701FB">
            <w:pPr>
              <w:spacing w:after="0" w:line="240" w:lineRule="auto"/>
              <w:ind w:left="76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20.987.502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6CAF" w14:textId="77777777" w:rsidR="007701FB" w:rsidRPr="007701FB" w:rsidRDefault="007701FB" w:rsidP="00770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21.174.187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4F44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CAPITALE CORRENTE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A770" w14:textId="77777777" w:rsidR="007701FB" w:rsidRPr="007701FB" w:rsidRDefault="007701FB" w:rsidP="007701F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12.434.833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5552" w14:textId="77777777" w:rsidR="007701FB" w:rsidRPr="007701FB" w:rsidRDefault="007701FB" w:rsidP="007701FB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8.147.753</w:t>
            </w:r>
          </w:p>
        </w:tc>
      </w:tr>
      <w:tr w:rsidR="007701FB" w:rsidRPr="007701FB" w14:paraId="60497619" w14:textId="77777777" w:rsidTr="000A2507">
        <w:trPr>
          <w:gridAfter w:val="1"/>
          <w:wAfter w:w="104" w:type="pct"/>
          <w:trHeight w:val="241"/>
          <w:jc w:val="center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51B80" w14:textId="77777777" w:rsidR="007701FB" w:rsidRPr="007701FB" w:rsidRDefault="007701FB" w:rsidP="007701F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Liquidità immediate Li (C.IV)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CC66" w14:textId="77777777" w:rsidR="007701FB" w:rsidRPr="007701FB" w:rsidRDefault="007701FB" w:rsidP="007701FB">
            <w:pPr>
              <w:spacing w:after="0" w:line="240" w:lineRule="auto"/>
              <w:ind w:left="76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3.664.705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4928" w14:textId="77777777" w:rsidR="007701FB" w:rsidRPr="007701FB" w:rsidRDefault="007701FB" w:rsidP="007701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01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1.056.601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7725" w14:textId="77777777" w:rsidR="007701FB" w:rsidRPr="007701FB" w:rsidRDefault="007701FB" w:rsidP="007701FB">
            <w:pPr>
              <w:spacing w:after="0" w:line="360" w:lineRule="auto"/>
              <w:ind w:left="76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AAC6" w14:textId="77777777" w:rsidR="007701FB" w:rsidRPr="007701FB" w:rsidRDefault="007701FB" w:rsidP="007701FB">
            <w:pPr>
              <w:spacing w:after="0" w:line="360" w:lineRule="auto"/>
              <w:ind w:left="76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29B9" w14:textId="77777777" w:rsidR="007701FB" w:rsidRPr="007701FB" w:rsidRDefault="007701FB" w:rsidP="007701FB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</w:tbl>
    <w:p w14:paraId="31225426" w14:textId="77777777" w:rsidR="00627B35" w:rsidRDefault="00627B35"/>
    <w:sectPr w:rsidR="00627B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BC605" w14:textId="77777777" w:rsidR="007701FB" w:rsidRDefault="007701FB" w:rsidP="007701FB">
      <w:pPr>
        <w:spacing w:after="0" w:line="240" w:lineRule="auto"/>
      </w:pPr>
      <w:r>
        <w:separator/>
      </w:r>
    </w:p>
  </w:endnote>
  <w:endnote w:type="continuationSeparator" w:id="0">
    <w:p w14:paraId="1DF480A6" w14:textId="77777777" w:rsidR="007701FB" w:rsidRDefault="007701FB" w:rsidP="0077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3C6BD" w14:textId="77777777" w:rsidR="007701FB" w:rsidRDefault="007701FB" w:rsidP="007701FB">
      <w:pPr>
        <w:spacing w:after="0" w:line="240" w:lineRule="auto"/>
      </w:pPr>
      <w:r>
        <w:separator/>
      </w:r>
    </w:p>
  </w:footnote>
  <w:footnote w:type="continuationSeparator" w:id="0">
    <w:p w14:paraId="3C176E8E" w14:textId="77777777" w:rsidR="007701FB" w:rsidRDefault="007701FB" w:rsidP="00770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FB"/>
    <w:rsid w:val="00627B35"/>
    <w:rsid w:val="007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D656"/>
  <w15:chartTrackingRefBased/>
  <w15:docId w15:val="{D8491079-4F91-4CF0-8633-24A28244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1FB"/>
  </w:style>
  <w:style w:type="paragraph" w:styleId="Pidipagina">
    <w:name w:val="footer"/>
    <w:basedOn w:val="Normale"/>
    <w:link w:val="PidipaginaCarattere"/>
    <w:uiPriority w:val="99"/>
    <w:unhideWhenUsed/>
    <w:rsid w:val="00770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Porticello</dc:creator>
  <cp:keywords/>
  <dc:description/>
  <cp:lastModifiedBy>Natalina Porticello</cp:lastModifiedBy>
  <cp:revision>1</cp:revision>
  <dcterms:created xsi:type="dcterms:W3CDTF">2020-07-01T14:28:00Z</dcterms:created>
  <dcterms:modified xsi:type="dcterms:W3CDTF">2020-07-01T14:30:00Z</dcterms:modified>
</cp:coreProperties>
</file>